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none"/>
          <w:left w:val="none"/>
          <w:bottom w:val="none"/>
          <w:right w:val="none"/>
          <w:insideH w:val="none"/>
          <w:insideV w:val="none"/>
        </w:tblBorders>
      </w:tblPr>
      <w:tblGrid>
        <w:gridCol w:w="180"/>
        <w:gridCol w:w="10620"/>
      </w:tblGrid>
      <w:tr>
        <w:tc>
          <w:tcPr>
            <w:tcW w:type="dxa" w:w="180"/>
            <w:tcBorders>
              <w:top w:val="none"/>
              <w:left w:val="none"/>
              <w:bottom w:val="none"/>
              <w:right w:val="none"/>
            </w:tcBorders>
            <w:shd w:fill="C4961A" w:val="clear"/>
          </w:tcPr>
          <w:p/>
        </w:tc>
        <w:tc>
          <w:tcPr>
            <w:tcW w:type="dxa" w:w="10620"/>
            <w:tcBorders>
              <w:top w:val="none"/>
              <w:left w:val="none"/>
              <w:bottom w:val="none"/>
              <w:right w:val="none"/>
            </w:tcBorders>
            <w:tcMar>
              <w:left w:type="dxa" w:w="200"/>
            </w:tcMar>
          </w:tcPr>
          <w:p>
            <w:pPr>
              <w:spacing w:before="0" w:after="0"/>
            </w:pPr>
            <w:r>
              <w:rPr>
                <w:rFonts w:ascii="Georgia" w:cs="Georgia" w:eastAsia="Georgia" w:hAnsi="Georgia"/>
                <w:b/>
                <w:bCs/>
                <w:color w:val="0A2647"/>
                <w:sz w:val="56"/>
                <w:szCs w:val="56"/>
              </w:rPr>
              <w:t xml:space="preserve">ADRIAN</w:t>
            </w:r>
          </w:p>
          <w:p>
            <w:pPr>
              <w:spacing w:before="0" w:after="80"/>
            </w:pPr>
            <w:r>
              <w:rPr>
                <w:rFonts w:ascii="Georgia" w:cs="Georgia" w:eastAsia="Georgia" w:hAnsi="Georgia"/>
                <w:b/>
                <w:bCs/>
                <w:color w:val="1B6B7A"/>
                <w:sz w:val="56"/>
                <w:szCs w:val="56"/>
              </w:rPr>
              <w:t xml:space="preserve">CHENEY</w:t>
            </w:r>
          </w:p>
          <w:p>
            <w:pPr>
              <w:spacing w:before="0" w:after="0"/>
            </w:pPr>
            <w:r>
              <w:rPr>
                <w:rFonts w:ascii="Calibri" w:cs="Calibri" w:eastAsia="Calibri" w:hAnsi="Calibri"/>
                <w:color w:val="444444"/>
                <w:sz w:val="22"/>
                <w:szCs w:val="22"/>
              </w:rPr>
              <w:t xml:space="preserve">Houston, TX  |  620-875-9568  |  jonesesquire@proton.me  |  </w:t>
            </w:r>
            <w:hyperlink w:history="1" r:id="rId8kulyzfyhu6xt-dabstuu">
              <w:r>
                <w:rPr>
                  <w:rFonts w:ascii="Calibri" w:cs="Calibri" w:eastAsia="Calibri" w:hAnsi="Calibri"/>
                  <w:color w:val="1B6B7A"/>
                  <w:sz w:val="22"/>
                  <w:szCs w:val="22"/>
                  <w:u w:val="single"/>
                </w:rPr>
                <w:t xml:space="preserve">LinkedIn</w:t>
              </w:r>
            </w:hyperlink>
          </w:p>
        </w:tc>
      </w:tr>
    </w:tbl>
    <w:p>
      <w:pPr>
        <w:shd w:fill="0A2647" w:val="clear"/>
        <w:spacing w:before="200" w:after="120"/>
        <w:jc w:val="center"/>
      </w:pPr>
      <w:r>
        <w:rPr>
          <w:rFonts w:ascii="Calibri" w:cs="Calibri" w:eastAsia="Calibri" w:hAnsi="Calibri"/>
          <w:b/>
          <w:bCs/>
          <w:color w:val="FFFFFF"/>
          <w:sz w:val="26"/>
          <w:szCs w:val="26"/>
        </w:rPr>
        <w:t xml:space="preserve">  CLIENT FACING UNDERWRITER  &amp;  SERVICE MANAGER  </w:t>
      </w:r>
    </w:p>
    <w:p>
      <w:pPr>
        <w:spacing w:before="160" w:after="200"/>
        <w:jc w:val="both"/>
      </w:pPr>
      <w:r>
        <w:rPr>
          <w:rFonts w:ascii="Calibri" w:cs="Calibri" w:eastAsia="Calibri" w:hAnsi="Calibri"/>
          <w:sz w:val="23"/>
          <w:szCs w:val="23"/>
        </w:rPr>
        <w:t xml:space="preserve">Results-oriented Organizational and Talent Development Executive with a proven track record of engaging and elevating organizations and talent. Expertise in design thinking and implementing effective L&amp;D programs to optimize employee growth and performance. Adept at creating talent management processes, conducting needs assessments, and strategic HR planning to identify opportunities that align with business objectives and drive positive cultural change.</w:t>
      </w:r>
    </w:p>
    <w:p>
      <w:pPr>
        <w:pBdr>
          <w:bottom w:val="single" w:color="C4961A" w:sz="18"/>
        </w:pBdr>
        <w:spacing w:before="80" w:after="120"/>
      </w:pPr>
      <w:r>
        <w:rPr>
          <w:rFonts w:ascii="Georgia" w:cs="Georgia" w:eastAsia="Georgia" w:hAnsi="Georgia"/>
          <w:b/>
          <w:bCs/>
          <w:color w:val="0A2647"/>
          <w:sz w:val="28"/>
          <w:szCs w:val="28"/>
        </w:rPr>
        <w:t xml:space="preserve">CORE COMPETENCIES</w:t>
      </w:r>
    </w:p>
    <w:tbl>
      <w:tblPr>
        <w:tblW w:type="pct" w:w="100%"/>
        <w:tblBorders>
          <w:top w:val="none"/>
          <w:left w:val="none"/>
          <w:bottom w:val="none"/>
          <w:right w:val="none"/>
          <w:insideH w:val="none"/>
          <w:insideV w:val="none"/>
        </w:tblBorders>
      </w:tblPr>
      <w:tblGrid>
        <w:gridCol w:w="3600"/>
        <w:gridCol w:w="3600"/>
        <w:gridCol w:w="3600"/>
      </w:tblGrid>
      <w:tr>
        <w:tc>
          <w:tcPr>
            <w:tcW w:type="dxa" w:w="3600"/>
            <w:tcBorders>
              <w:top w:val="none"/>
              <w:left w:val="none"/>
              <w:bottom w:val="none"/>
              <w:right w:val="none"/>
            </w:tcBorders>
          </w:tcPr>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GL, WC, Auto, Umbrella, E&amp;S</w:t>
            </w:r>
          </w:p>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Underwriting Principles</w:t>
            </w:r>
          </w:p>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Renewable Energy Experience</w:t>
            </w:r>
          </w:p>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Talent Development &amp; Retention</w:t>
            </w:r>
          </w:p>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Onboarding</w:t>
            </w:r>
          </w:p>
        </w:tc>
        <w:tc>
          <w:tcPr>
            <w:tcW w:type="dxa" w:w="3600"/>
            <w:tcBorders>
              <w:top w:val="none"/>
              <w:left w:val="none"/>
              <w:bottom w:val="none"/>
              <w:right w:val="none"/>
            </w:tcBorders>
          </w:tcPr>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Service Management</w:t>
            </w:r>
          </w:p>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Claim Adjusting &amp; Processes</w:t>
            </w:r>
          </w:p>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Culture Engagement</w:t>
            </w:r>
          </w:p>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C-Suite Interaction</w:t>
            </w:r>
          </w:p>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Troubleshooting</w:t>
            </w:r>
          </w:p>
        </w:tc>
        <w:tc>
          <w:tcPr>
            <w:tcW w:type="dxa" w:w="3600"/>
            <w:tcBorders>
              <w:top w:val="none"/>
              <w:left w:val="none"/>
              <w:bottom w:val="none"/>
              <w:right w:val="none"/>
            </w:tcBorders>
          </w:tcPr>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Face-to-Face &amp; Distance Learning</w:t>
            </w:r>
          </w:p>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Virtual Meetings</w:t>
            </w:r>
          </w:p>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Organizational Growth</w:t>
            </w:r>
          </w:p>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Fast-Paced Environment</w:t>
            </w:r>
          </w:p>
          <w:p>
            <w:pPr>
              <w:spacing w:before="40" w:after="40"/>
            </w:pPr>
            <w:r>
              <w:rPr>
                <w:rFonts w:ascii="Calibri" w:cs="Calibri" w:eastAsia="Calibri" w:hAnsi="Calibri"/>
                <w:color w:val="C4961A"/>
                <w:sz w:val="18"/>
                <w:szCs w:val="18"/>
              </w:rPr>
              <w:t xml:space="preserve">◆  </w:t>
            </w:r>
            <w:r>
              <w:rPr>
                <w:rFonts w:ascii="Calibri" w:cs="Calibri" w:eastAsia="Calibri" w:hAnsi="Calibri"/>
                <w:sz w:val="22"/>
                <w:szCs w:val="22"/>
              </w:rPr>
              <w:t xml:space="preserve">Budget Management</w:t>
            </w:r>
          </w:p>
        </w:tc>
      </w:tr>
    </w:tbl>
    <w:p>
      <w:pPr>
        <w:pBdr>
          <w:bottom w:val="single" w:color="C4961A" w:sz="18"/>
        </w:pBdr>
        <w:spacing w:before="200" w:after="120"/>
      </w:pPr>
      <w:r>
        <w:rPr>
          <w:rFonts w:ascii="Georgia" w:cs="Georgia" w:eastAsia="Georgia" w:hAnsi="Georgia"/>
          <w:b/>
          <w:bCs/>
          <w:color w:val="0A2647"/>
          <w:sz w:val="28"/>
          <w:szCs w:val="28"/>
        </w:rPr>
        <w:t xml:space="preserve">PROFESSIONAL EXPERIENCE</w:t>
      </w:r>
    </w:p>
    <w:p>
      <w:pPr>
        <w:tabs>
          <w:tab w:val="right" w:pos="10800"/>
        </w:tabs>
        <w:spacing w:before="160" w:after="0"/>
      </w:pPr>
      <w:r>
        <w:rPr>
          <w:rFonts w:ascii="Calibri" w:cs="Calibri" w:eastAsia="Calibri" w:hAnsi="Calibri"/>
          <w:b/>
          <w:bCs/>
          <w:color w:val="1B6B7A"/>
          <w:sz w:val="26"/>
          <w:szCs w:val="26"/>
        </w:rPr>
        <w:t xml:space="preserve">Axis Capital</w:t>
      </w:r>
      <w:r>
        <w:rPr>
          <w:rFonts w:ascii="Calibri" w:cs="Calibri" w:eastAsia="Calibri" w:hAnsi="Calibri"/>
          <w:color w:val="666666"/>
          <w:sz w:val="23"/>
          <w:szCs w:val="23"/>
        </w:rPr>
        <w:t xml:space="preserve">	Feb 2024 – Present</w:t>
      </w:r>
    </w:p>
    <w:p>
      <w:pPr>
        <w:spacing w:before="20" w:after="60"/>
      </w:pPr>
      <w:r>
        <w:rPr>
          <w:rFonts w:ascii="Calibri" w:cs="Calibri" w:eastAsia="Calibri" w:hAnsi="Calibri"/>
          <w:b/>
          <w:bCs/>
          <w:i/>
          <w:iCs/>
          <w:sz w:val="24"/>
          <w:szCs w:val="24"/>
        </w:rPr>
        <w:t xml:space="preserve">Senior Underwriter – Liability, Renewable Energy</w:t>
      </w:r>
    </w:p>
    <w:p>
      <w:pPr>
        <w:spacing w:before="0" w:after="100"/>
        <w:jc w:val="both"/>
      </w:pPr>
      <w:r>
        <w:rPr>
          <w:rFonts w:ascii="Calibri" w:cs="Calibri" w:eastAsia="Calibri" w:hAnsi="Calibri"/>
          <w:sz w:val="23"/>
          <w:szCs w:val="23"/>
        </w:rPr>
        <w:t xml:space="preserve">Oversee and grow the Renewable Energy Liability portfolio. Manage renewals, produce new business, and serve as a liability resource globally. Underwrite new and renewal risk by preparing detailed proposals and meeting with brokers and clients. Negotiate reinsurance treaty terms, contribute to annual business planning, and liaise with claims, finance, operations, and distribution.</w:t>
      </w:r>
    </w:p>
    <w:p>
      <w:pPr>
        <w:tabs>
          <w:tab w:val="right" w:pos="10800"/>
        </w:tabs>
        <w:spacing w:before="160" w:after="0"/>
      </w:pPr>
      <w:r>
        <w:rPr>
          <w:rFonts w:ascii="Calibri" w:cs="Calibri" w:eastAsia="Calibri" w:hAnsi="Calibri"/>
          <w:b/>
          <w:bCs/>
          <w:color w:val="1B6B7A"/>
          <w:sz w:val="26"/>
          <w:szCs w:val="26"/>
        </w:rPr>
        <w:t xml:space="preserve">Zurich North America</w:t>
      </w:r>
      <w:r>
        <w:rPr>
          <w:rFonts w:ascii="Calibri" w:cs="Calibri" w:eastAsia="Calibri" w:hAnsi="Calibri"/>
          <w:color w:val="666666"/>
          <w:sz w:val="23"/>
          <w:szCs w:val="23"/>
        </w:rPr>
        <w:t xml:space="preserve">	Jan 2023 – Feb 2024</w:t>
      </w:r>
    </w:p>
    <w:p>
      <w:pPr>
        <w:spacing w:before="20" w:after="60"/>
      </w:pPr>
      <w:r>
        <w:rPr>
          <w:rFonts w:ascii="Calibri" w:cs="Calibri" w:eastAsia="Calibri" w:hAnsi="Calibri"/>
          <w:b/>
          <w:bCs/>
          <w:i/>
          <w:iCs/>
          <w:sz w:val="24"/>
          <w:szCs w:val="24"/>
        </w:rPr>
        <w:t xml:space="preserve">Executive Underwriter – Power Generation &amp; Renewables</w:t>
      </w:r>
    </w:p>
    <w:p>
      <w:pPr>
        <w:spacing w:before="0" w:after="100"/>
        <w:jc w:val="both"/>
      </w:pPr>
      <w:r>
        <w:rPr>
          <w:rFonts w:ascii="Calibri" w:cs="Calibri" w:eastAsia="Calibri" w:hAnsi="Calibri"/>
          <w:sz w:val="23"/>
          <w:szCs w:val="23"/>
        </w:rPr>
        <w:t xml:space="preserve">Analyzed and underwrote new and renewal business focused on Power Generation and Renewables. Completed detailed opportunity assessments with key distributors. Negotiated Terms &amp; Conditions and closed deals. Cross-sold other lines to increase product density by developing broad broker and client networks, analyzing risks, and leading marketing presentations.</w:t>
      </w:r>
    </w:p>
    <w:p>
      <w:pPr>
        <w:tabs>
          <w:tab w:val="right" w:pos="10800"/>
        </w:tabs>
        <w:spacing w:before="160" w:after="0"/>
      </w:pPr>
      <w:r>
        <w:rPr>
          <w:rFonts w:ascii="Calibri" w:cs="Calibri" w:eastAsia="Calibri" w:hAnsi="Calibri"/>
          <w:b/>
          <w:bCs/>
          <w:color w:val="1B6B7A"/>
          <w:sz w:val="26"/>
          <w:szCs w:val="26"/>
        </w:rPr>
        <w:t xml:space="preserve">Liberty Mutual | Ironshore</w:t>
      </w:r>
      <w:r>
        <w:rPr>
          <w:rFonts w:ascii="Calibri" w:cs="Calibri" w:eastAsia="Calibri" w:hAnsi="Calibri"/>
          <w:color w:val="666666"/>
          <w:sz w:val="23"/>
          <w:szCs w:val="23"/>
        </w:rPr>
        <w:t xml:space="preserve">	May 2021 – Jan 2023</w:t>
      </w:r>
    </w:p>
    <w:p>
      <w:pPr>
        <w:spacing w:before="20" w:after="60"/>
      </w:pPr>
      <w:r>
        <w:rPr>
          <w:rFonts w:ascii="Calibri" w:cs="Calibri" w:eastAsia="Calibri" w:hAnsi="Calibri"/>
          <w:b/>
          <w:bCs/>
          <w:i/>
          <w:iCs/>
          <w:sz w:val="24"/>
          <w:szCs w:val="24"/>
        </w:rPr>
        <w:t xml:space="preserve">Senior Energy Underwriter</w:t>
      </w:r>
    </w:p>
    <w:p>
      <w:pPr>
        <w:spacing w:before="0" w:after="100"/>
        <w:jc w:val="both"/>
      </w:pPr>
      <w:r>
        <w:rPr>
          <w:rFonts w:ascii="Calibri" w:cs="Calibri" w:eastAsia="Calibri" w:hAnsi="Calibri"/>
          <w:sz w:val="23"/>
          <w:szCs w:val="23"/>
        </w:rPr>
        <w:t xml:space="preserve">Established and maintained relationships to market Ironshore Energy E&amp;S products to the brokerage community. Made independent sales calls to market and cross-market. Underwrote targeted new and renewal business of complex accounts by analyzing insured's loss history, financials, and other information. Provided input on marketing plans, product analysis, and geographic focus.</w:t>
      </w:r>
    </w:p>
    <w:p>
      <w:pPr>
        <w:tabs>
          <w:tab w:val="right" w:pos="10800"/>
        </w:tabs>
        <w:spacing w:before="160" w:after="0"/>
      </w:pPr>
      <w:r>
        <w:rPr>
          <w:rFonts w:ascii="Calibri" w:cs="Calibri" w:eastAsia="Calibri" w:hAnsi="Calibri"/>
          <w:b/>
          <w:bCs/>
          <w:color w:val="1B6B7A"/>
          <w:sz w:val="26"/>
          <w:szCs w:val="26"/>
        </w:rPr>
        <w:t xml:space="preserve">Liberty Mutual Insurance</w:t>
      </w:r>
      <w:r>
        <w:rPr>
          <w:rFonts w:ascii="Calibri" w:cs="Calibri" w:eastAsia="Calibri" w:hAnsi="Calibri"/>
          <w:color w:val="666666"/>
          <w:sz w:val="23"/>
          <w:szCs w:val="23"/>
        </w:rPr>
        <w:t xml:space="preserve">	Apr 2014 – May 2021</w:t>
      </w:r>
    </w:p>
    <w:p>
      <w:pPr>
        <w:spacing w:before="20" w:after="60"/>
      </w:pPr>
      <w:r>
        <w:rPr>
          <w:rFonts w:ascii="Calibri" w:cs="Calibri" w:eastAsia="Calibri" w:hAnsi="Calibri"/>
          <w:b/>
          <w:bCs/>
          <w:i/>
          <w:iCs/>
          <w:sz w:val="24"/>
          <w:szCs w:val="24"/>
        </w:rPr>
        <w:t xml:space="preserve">Client Service Manager</w:t>
      </w:r>
    </w:p>
    <w:p>
      <w:pPr>
        <w:spacing w:before="0" w:after="100"/>
        <w:jc w:val="both"/>
      </w:pPr>
      <w:r>
        <w:rPr>
          <w:rFonts w:ascii="Calibri" w:cs="Calibri" w:eastAsia="Calibri" w:hAnsi="Calibri"/>
          <w:sz w:val="23"/>
          <w:szCs w:val="23"/>
        </w:rPr>
        <w:t xml:space="preserve">Developed service plans with assigned agents/brokers and accounts. Onboarded new clients onto Liberty Mutual systems. Drove marketing efforts for new business and renewals. Coordinated and led review meetings with agents/brokers/customers to ensure service results aligned with plan. Managed installation and onboarding for new and existing accounts.</w:t>
      </w:r>
    </w:p>
    <w:p>
      <w:pPr>
        <w:tabs>
          <w:tab w:val="right" w:pos="10800"/>
        </w:tabs>
        <w:spacing w:before="160" w:after="0"/>
      </w:pPr>
      <w:r>
        <w:rPr>
          <w:rFonts w:ascii="Calibri" w:cs="Calibri" w:eastAsia="Calibri" w:hAnsi="Calibri"/>
          <w:b/>
          <w:bCs/>
          <w:color w:val="1B6B7A"/>
          <w:sz w:val="26"/>
          <w:szCs w:val="26"/>
        </w:rPr>
        <w:t xml:space="preserve">Farmers Insurance Group</w:t>
      </w:r>
      <w:r>
        <w:rPr>
          <w:rFonts w:ascii="Calibri" w:cs="Calibri" w:eastAsia="Calibri" w:hAnsi="Calibri"/>
          <w:color w:val="666666"/>
          <w:sz w:val="23"/>
          <w:szCs w:val="23"/>
        </w:rPr>
        <w:t xml:space="preserve">	Jan 2010 – Apr 2014</w:t>
      </w:r>
    </w:p>
    <w:p>
      <w:pPr>
        <w:spacing w:before="20" w:after="60"/>
      </w:pPr>
      <w:r>
        <w:rPr>
          <w:rFonts w:ascii="Calibri" w:cs="Calibri" w:eastAsia="Calibri" w:hAnsi="Calibri"/>
          <w:b/>
          <w:bCs/>
          <w:i/>
          <w:iCs/>
          <w:sz w:val="24"/>
          <w:szCs w:val="24"/>
        </w:rPr>
        <w:t xml:space="preserve">Senior Commercial Liability Claims Adjuster</w:t>
      </w:r>
    </w:p>
    <w:p>
      <w:pPr>
        <w:spacing w:before="0" w:after="100"/>
        <w:jc w:val="both"/>
      </w:pPr>
      <w:r>
        <w:rPr>
          <w:rFonts w:ascii="Calibri" w:cs="Calibri" w:eastAsia="Calibri" w:hAnsi="Calibri"/>
          <w:sz w:val="23"/>
          <w:szCs w:val="23"/>
        </w:rPr>
        <w:t xml:space="preserve">Strategically planned and conducted investigations for general liability and commercial auto claims. Analyzed coverage, determined liability, evaluated damages, and resolved claims. Partnered with counsel in litigation to develop discovery, prepare for deposition, and ensure timely cost-effective resolution.</w:t>
      </w:r>
    </w:p>
    <w:p>
      <w:pPr>
        <w:tabs>
          <w:tab w:val="right" w:pos="10800"/>
        </w:tabs>
        <w:spacing w:before="160" w:after="0"/>
      </w:pPr>
      <w:r>
        <w:rPr>
          <w:rFonts w:ascii="Calibri" w:cs="Calibri" w:eastAsia="Calibri" w:hAnsi="Calibri"/>
          <w:b/>
          <w:bCs/>
          <w:color w:val="1B6B7A"/>
          <w:sz w:val="26"/>
          <w:szCs w:val="26"/>
        </w:rPr>
        <w:t xml:space="preserve">Farmers Insurance Group</w:t>
      </w:r>
      <w:r>
        <w:rPr>
          <w:rFonts w:ascii="Calibri" w:cs="Calibri" w:eastAsia="Calibri" w:hAnsi="Calibri"/>
          <w:color w:val="666666"/>
          <w:sz w:val="23"/>
          <w:szCs w:val="23"/>
        </w:rPr>
        <w:t xml:space="preserve">	Jan 2008 – Jan 2010</w:t>
      </w:r>
    </w:p>
    <w:p>
      <w:pPr>
        <w:spacing w:before="20" w:after="60"/>
      </w:pPr>
      <w:r>
        <w:rPr>
          <w:rFonts w:ascii="Calibri" w:cs="Calibri" w:eastAsia="Calibri" w:hAnsi="Calibri"/>
          <w:b/>
          <w:bCs/>
          <w:i/>
          <w:iCs/>
          <w:sz w:val="24"/>
          <w:szCs w:val="24"/>
        </w:rPr>
        <w:t xml:space="preserve">Personal Lines Underwriting Supervisor</w:t>
      </w:r>
    </w:p>
    <w:p>
      <w:pPr>
        <w:spacing w:before="0" w:after="100"/>
        <w:jc w:val="both"/>
      </w:pPr>
      <w:r>
        <w:rPr>
          <w:rFonts w:ascii="Calibri" w:cs="Calibri" w:eastAsia="Calibri" w:hAnsi="Calibri"/>
          <w:sz w:val="23"/>
          <w:szCs w:val="23"/>
        </w:rPr>
        <w:t xml:space="preserve">Managed and developed up to 12 underwriters focusing on Auto, Homeowners, and Umbrella business. Generated positive growth through Farmers exclusive and independent agents. Supervised all management-related issues including HR, hiring/training/mentoring, performance reviews, and compliance. Developed high-performing underwriters through effective coaching, resulting in 5 promotions within 2 years.</w:t>
      </w:r>
    </w:p>
    <w:p>
      <w:pPr>
        <w:tabs>
          <w:tab w:val="right" w:pos="10800"/>
        </w:tabs>
        <w:spacing w:before="160" w:after="0"/>
      </w:pPr>
      <w:r>
        <w:rPr>
          <w:rFonts w:ascii="Calibri" w:cs="Calibri" w:eastAsia="Calibri" w:hAnsi="Calibri"/>
          <w:b/>
          <w:bCs/>
          <w:color w:val="1B6B7A"/>
          <w:sz w:val="26"/>
          <w:szCs w:val="26"/>
        </w:rPr>
        <w:t xml:space="preserve">Farmers Insurance</w:t>
      </w:r>
      <w:r>
        <w:rPr>
          <w:rFonts w:ascii="Calibri" w:cs="Calibri" w:eastAsia="Calibri" w:hAnsi="Calibri"/>
          <w:color w:val="666666"/>
          <w:sz w:val="23"/>
          <w:szCs w:val="23"/>
        </w:rPr>
        <w:t xml:space="preserve">	Apr 2006 – Jan 2008</w:t>
      </w:r>
    </w:p>
    <w:p>
      <w:pPr>
        <w:spacing w:before="20" w:after="60"/>
      </w:pPr>
      <w:r>
        <w:rPr>
          <w:rFonts w:ascii="Calibri" w:cs="Calibri" w:eastAsia="Calibri" w:hAnsi="Calibri"/>
          <w:b/>
          <w:bCs/>
          <w:i/>
          <w:iCs/>
          <w:sz w:val="24"/>
          <w:szCs w:val="24"/>
        </w:rPr>
        <w:t xml:space="preserve">Personal Lines Underwriter</w:t>
      </w:r>
    </w:p>
    <w:p>
      <w:pPr>
        <w:spacing w:before="0" w:after="100"/>
        <w:jc w:val="both"/>
      </w:pPr>
      <w:r>
        <w:rPr>
          <w:rFonts w:ascii="Calibri" w:cs="Calibri" w:eastAsia="Calibri" w:hAnsi="Calibri"/>
          <w:sz w:val="23"/>
          <w:szCs w:val="23"/>
        </w:rPr>
        <w:t xml:space="preserve">Assessed eligibility and risk of prospective Auto and Homeowners policyholders by interpreting policy contract language and state laws. Spearheaded projects to improve efficiency of departmental operations. Promoted to Senior Underwriter in one year.</w:t>
      </w:r>
    </w:p>
    <w:p>
      <w:pPr>
        <w:pBdr>
          <w:bottom w:val="single" w:color="C4961A" w:sz="18"/>
        </w:pBdr>
        <w:spacing w:before="200" w:after="120"/>
      </w:pPr>
      <w:r>
        <w:rPr>
          <w:rFonts w:ascii="Georgia" w:cs="Georgia" w:eastAsia="Georgia" w:hAnsi="Georgia"/>
          <w:b/>
          <w:bCs/>
          <w:color w:val="0A2647"/>
          <w:sz w:val="28"/>
          <w:szCs w:val="28"/>
        </w:rPr>
        <w:t xml:space="preserve">EDUCATION &amp; CREDENTIALS</w:t>
      </w:r>
    </w:p>
    <w:p>
      <w:pPr>
        <w:spacing w:before="80" w:after="60"/>
      </w:pPr>
      <w:r>
        <w:rPr>
          <w:rFonts w:ascii="Calibri" w:cs="Calibri" w:eastAsia="Calibri" w:hAnsi="Calibri"/>
          <w:b/>
          <w:bCs/>
          <w:color w:val="0A2647"/>
          <w:sz w:val="24"/>
          <w:szCs w:val="24"/>
        </w:rPr>
        <w:t xml:space="preserve">Master of Business Administration</w:t>
      </w:r>
      <w:r>
        <w:rPr>
          <w:rFonts w:ascii="Calibri" w:cs="Calibri" w:eastAsia="Calibri" w:hAnsi="Calibri"/>
          <w:sz w:val="23"/>
          <w:szCs w:val="23"/>
        </w:rPr>
        <w:t xml:space="preserve">  —  University of Phoenix</w:t>
      </w:r>
    </w:p>
    <w:p>
      <w:pPr>
        <w:spacing w:before="0" w:after="60"/>
      </w:pPr>
      <w:r>
        <w:rPr>
          <w:rFonts w:ascii="Calibri" w:cs="Calibri" w:eastAsia="Calibri" w:hAnsi="Calibri"/>
          <w:b/>
          <w:bCs/>
          <w:color w:val="0A2647"/>
          <w:sz w:val="24"/>
          <w:szCs w:val="24"/>
        </w:rPr>
        <w:t xml:space="preserve">Bachelor of Arts in Communication (Minor: Business)</w:t>
      </w:r>
      <w:r>
        <w:rPr>
          <w:rFonts w:ascii="Calibri" w:cs="Calibri" w:eastAsia="Calibri" w:hAnsi="Calibri"/>
          <w:sz w:val="23"/>
          <w:szCs w:val="23"/>
        </w:rPr>
        <w:t xml:space="preserve">  —  Pittsburg State University</w:t>
      </w:r>
    </w:p>
    <w:p>
      <w:pPr>
        <w:spacing w:before="0" w:after="60"/>
      </w:pPr>
      <w:r>
        <w:rPr>
          <w:rFonts w:ascii="Calibri" w:cs="Calibri" w:eastAsia="Calibri" w:hAnsi="Calibri"/>
          <w:b/>
          <w:bCs/>
          <w:color w:val="0A2647"/>
          <w:sz w:val="24"/>
          <w:szCs w:val="24"/>
        </w:rPr>
        <w:t xml:space="preserve">Associate of Insurance Services (AIS)</w:t>
      </w:r>
      <w:r>
        <w:rPr>
          <w:rFonts w:ascii="Calibri" w:cs="Calibri" w:eastAsia="Calibri" w:hAnsi="Calibri"/>
          <w:sz w:val="23"/>
          <w:szCs w:val="23"/>
        </w:rPr>
        <w:t xml:space="preserve">  —  AICPCU  |  Currently Pursuing CPCU</w:t>
      </w:r>
    </w:p>
    <w:p>
      <w:pPr>
        <w:spacing w:before="140" w:after="0"/>
      </w:pPr>
      <w:r>
        <w:rPr>
          <w:rFonts w:ascii="Calibri" w:cs="Calibri" w:eastAsia="Calibri" w:hAnsi="Calibri"/>
          <w:b/>
          <w:bCs/>
          <w:color w:val="0A2647"/>
          <w:sz w:val="23"/>
          <w:szCs w:val="23"/>
        </w:rPr>
        <w:t xml:space="preserve">Professional Affiliations:  </w:t>
      </w:r>
      <w:r>
        <w:rPr>
          <w:rFonts w:ascii="Calibri" w:cs="Calibri" w:eastAsia="Calibri" w:hAnsi="Calibri"/>
          <w:sz w:val="23"/>
          <w:szCs w:val="23"/>
        </w:rPr>
        <w:t xml:space="preserve">RIMS  •  National African American MBA Association  •  National African American Insurance Association</w:t>
      </w:r>
    </w:p>
    <w:sectPr>
      <w:headerReference w:type="default" r:id="rId6"/>
      <w:headerReference w:type="first" r:id="rId7"/>
      <w:pgSz w:w="12240" w:h="15840" w:orient="portrait"/>
      <w:pgMar w:top="504" w:right="720" w:bottom="504" w:left="72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80"/>
      <w:jc w:val="right"/>
    </w:pPr>
    <w:r>
      <w:rPr>
        <w:rFonts w:ascii="Georgia" w:cs="Georgia" w:eastAsia="Georgia" w:hAnsi="Georgia"/>
        <w:b/>
        <w:bCs/>
        <w:color w:val="0A2647"/>
        <w:sz w:val="22"/>
        <w:szCs w:val="22"/>
      </w:rPr>
      <w:t xml:space="preserve">Adrian Cheney</w:t>
    </w:r>
    <w:r>
      <w:rPr>
        <w:rFonts w:ascii="Georgia" w:cs="Georgia" w:eastAsia="Georgia" w:hAnsi="Georgia"/>
        <w:color w:val="666666"/>
        <w:sz w:val="20"/>
        <w:szCs w:val="20"/>
      </w:rPr>
      <w:t xml:space="preserve">  •  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kulyzfyhu6xt-dabstuu" Type="http://schemas.openxmlformats.org/officeDocument/2006/relationships/hyperlink" Target="https://www.linkedin.com/in/adriancheney"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2026-01-08T17:24:00.814Z</dcterms:created>
  <dcterms:modified xsi:type="dcterms:W3CDTF">2026-01-08T17:24:00.815Z</dcterms:modified>
</cp:coreProperties>
</file>

<file path=docProps/custom.xml><?xml version="1.0" encoding="utf-8"?>
<Properties xmlns="http://schemas.openxmlformats.org/officeDocument/2006/custom-properties" xmlns:vt="http://schemas.openxmlformats.org/officeDocument/2006/docPropsVTypes"/>
</file>